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atLeast"/>
        <w:jc w:val="left"/>
        <w:rPr>
          <w:rFonts w:hint="eastAsia" w:ascii="仿宋_GB2312" w:hAnsi="仿宋_GB2312" w:eastAsia="仿宋_GB2312" w:cs="仿宋_GB2312"/>
          <w:sz w:val="36"/>
          <w:szCs w:val="36"/>
          <w:lang w:val="en"/>
        </w:rPr>
      </w:pPr>
      <w:r>
        <w:rPr>
          <w:rFonts w:hint="eastAsia" w:ascii="仿宋_GB2312" w:hAnsi="仿宋_GB2312" w:eastAsia="仿宋_GB2312" w:cs="仿宋_GB2312"/>
          <w:sz w:val="36"/>
          <w:szCs w:val="36"/>
          <w:lang w:val="en"/>
        </w:rPr>
        <w:t>附件</w:t>
      </w:r>
      <w:r>
        <w:rPr>
          <w:rFonts w:hint="eastAsia" w:ascii="仿宋_GB2312" w:hAnsi="仿宋_GB2312" w:eastAsia="仿宋_GB2312" w:cs="仿宋_GB2312"/>
          <w:sz w:val="36"/>
          <w:szCs w:val="36"/>
          <w:lang w:val="en-US" w:eastAsia="zh-CN"/>
        </w:rPr>
        <w:t>3</w:t>
      </w:r>
      <w:r>
        <w:rPr>
          <w:rFonts w:hint="eastAsia" w:ascii="仿宋_GB2312" w:hAnsi="仿宋_GB2312" w:eastAsia="仿宋_GB2312" w:cs="仿宋_GB2312"/>
          <w:sz w:val="36"/>
          <w:szCs w:val="36"/>
          <w:lang w:val="en"/>
        </w:rPr>
        <w:t>：</w:t>
      </w:r>
    </w:p>
    <w:p>
      <w:pPr>
        <w:spacing w:line="360" w:lineRule="auto"/>
        <w:ind w:firstLine="480" w:firstLineChars="200"/>
        <w:rPr>
          <w:rFonts w:ascii="宋体" w:hAnsi="宋体"/>
          <w:color w:val="000000" w:themeColor="text1"/>
          <w:sz w:val="24"/>
        </w:rPr>
      </w:pPr>
    </w:p>
    <w:p>
      <w:pPr>
        <w:spacing w:line="360" w:lineRule="auto"/>
        <w:ind w:firstLine="720" w:firstLineChars="200"/>
        <w:rPr>
          <w:rFonts w:ascii="宋体" w:hAnsi="宋体"/>
          <w:color w:val="000000" w:themeColor="text1"/>
          <w:sz w:val="24"/>
        </w:rPr>
      </w:pPr>
      <w:r>
        <w:rPr>
          <w:rFonts w:hint="eastAsia" w:ascii="华文中宋" w:hAnsi="华文中宋" w:eastAsia="华文中宋" w:cs="华文中宋"/>
          <w:color w:val="000000" w:themeColor="text1"/>
          <w:sz w:val="36"/>
          <w:szCs w:val="36"/>
        </w:rPr>
        <w:t>2022年度行政事业性国有资产分析报告提纲</w:t>
      </w:r>
    </w:p>
    <w:p>
      <w:pPr>
        <w:spacing w:line="360" w:lineRule="auto"/>
        <w:ind w:firstLine="480" w:firstLineChars="200"/>
        <w:rPr>
          <w:rFonts w:ascii="宋体" w:hAnsi="宋体"/>
          <w:color w:val="000000" w:themeColor="text1"/>
          <w:sz w:val="24"/>
        </w:rPr>
      </w:pPr>
    </w:p>
    <w:p>
      <w:pPr>
        <w:spacing w:line="360" w:lineRule="auto"/>
        <w:ind w:firstLine="640" w:firstLineChars="200"/>
        <w:rPr>
          <w:rFonts w:ascii="仿宋_GB2312" w:eastAsia="仿宋_GB2312"/>
          <w:color w:val="000000" w:themeColor="text1"/>
          <w:sz w:val="32"/>
          <w:szCs w:val="32"/>
        </w:rPr>
      </w:pPr>
    </w:p>
    <w:p>
      <w:pPr>
        <w:pStyle w:val="12"/>
        <w:keepNext w:val="0"/>
        <w:keepLines w:val="0"/>
        <w:pageBreakBefore w:val="0"/>
        <w:numPr>
          <w:ilvl w:val="0"/>
          <w:numId w:val="1"/>
        </w:numPr>
        <w:kinsoku/>
        <w:wordWrap/>
        <w:overflowPunct/>
        <w:topLinePunct w:val="0"/>
        <w:autoSpaceDE/>
        <w:autoSpaceDN/>
        <w:bidi w:val="0"/>
        <w:adjustRightInd/>
        <w:snapToGrid/>
        <w:spacing w:line="560" w:lineRule="exact"/>
        <w:ind w:firstLineChars="0"/>
        <w:textAlignment w:val="auto"/>
        <w:rPr>
          <w:rFonts w:ascii="黑体" w:hAnsi="仿宋" w:eastAsia="黑体"/>
          <w:color w:val="000000" w:themeColor="text1"/>
          <w:sz w:val="32"/>
          <w:szCs w:val="32"/>
        </w:rPr>
      </w:pPr>
      <w:r>
        <w:rPr>
          <w:rFonts w:hint="eastAsia" w:ascii="黑体" w:hAnsi="仿宋" w:eastAsia="黑体"/>
          <w:color w:val="000000" w:themeColor="text1"/>
          <w:sz w:val="32"/>
          <w:szCs w:val="32"/>
        </w:rPr>
        <w:t>地区/部门的基本情况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Times New Roman" w:eastAsia="仿宋_GB2312"/>
          <w:color w:val="000000" w:themeColor="text1"/>
          <w:kern w:val="0"/>
          <w:sz w:val="32"/>
          <w:szCs w:val="32"/>
        </w:rPr>
        <w:t>分析</w:t>
      </w:r>
      <w:r>
        <w:rPr>
          <w:rFonts w:hint="eastAsia" w:ascii="仿宋_GB2312" w:eastAsia="仿宋_GB2312"/>
          <w:color w:val="000000" w:themeColor="text1"/>
          <w:sz w:val="32"/>
          <w:szCs w:val="32"/>
        </w:rPr>
        <w:t>本部门、本地区</w:t>
      </w:r>
      <w:r>
        <w:rPr>
          <w:rFonts w:hint="eastAsia" w:ascii="仿宋_GB2312" w:hAnsi="Times New Roman" w:eastAsia="仿宋_GB2312"/>
          <w:color w:val="000000" w:themeColor="text1"/>
          <w:kern w:val="0"/>
          <w:sz w:val="32"/>
          <w:szCs w:val="32"/>
        </w:rPr>
        <w:t>所属行政事业单位机构数、编制人数、实有人数等，</w:t>
      </w:r>
      <w:r>
        <w:rPr>
          <w:rFonts w:hint="eastAsia" w:ascii="仿宋_GB2312" w:hAnsi="仿宋_GB2312" w:eastAsia="仿宋_GB2312" w:cs="仿宋_GB2312"/>
          <w:color w:val="auto"/>
          <w:kern w:val="0"/>
          <w:sz w:val="32"/>
          <w:szCs w:val="32"/>
          <w:lang w:val="en-US" w:eastAsia="zh-CN"/>
        </w:rPr>
        <w:t>主管</w:t>
      </w:r>
      <w:r>
        <w:rPr>
          <w:rFonts w:hint="eastAsia" w:ascii="仿宋_GB2312" w:hAnsi="仿宋_GB2312" w:eastAsia="仿宋_GB2312" w:cs="仿宋_GB2312"/>
          <w:color w:val="auto"/>
          <w:kern w:val="0"/>
          <w:sz w:val="32"/>
          <w:szCs w:val="32"/>
        </w:rPr>
        <w:t>部门还应写明部门主要职责。</w:t>
      </w:r>
      <w:r>
        <w:rPr>
          <w:rFonts w:hint="eastAsia" w:ascii="仿宋_GB2312" w:hAnsi="仿宋_GB2312" w:eastAsia="仿宋_GB2312" w:cs="仿宋_GB2312"/>
          <w:color w:val="auto"/>
          <w:kern w:val="0"/>
          <w:sz w:val="32"/>
          <w:szCs w:val="32"/>
          <w:lang w:val="en-US" w:eastAsia="zh-CN"/>
        </w:rPr>
        <w:t>涉及机构改革的，说明改革进展及所涉资产划转情况。</w:t>
      </w:r>
    </w:p>
    <w:p>
      <w:pPr>
        <w:pStyle w:val="12"/>
        <w:keepNext w:val="0"/>
        <w:keepLines w:val="0"/>
        <w:pageBreakBefore w:val="0"/>
        <w:numPr>
          <w:ilvl w:val="0"/>
          <w:numId w:val="1"/>
        </w:numPr>
        <w:kinsoku/>
        <w:wordWrap/>
        <w:overflowPunct/>
        <w:topLinePunct w:val="0"/>
        <w:autoSpaceDE/>
        <w:autoSpaceDN/>
        <w:bidi w:val="0"/>
        <w:adjustRightInd/>
        <w:snapToGrid/>
        <w:spacing w:line="560" w:lineRule="exact"/>
        <w:ind w:firstLineChars="0"/>
        <w:textAlignment w:val="auto"/>
        <w:rPr>
          <w:rFonts w:ascii="黑体" w:eastAsia="黑体"/>
          <w:color w:val="000000" w:themeColor="text1"/>
          <w:sz w:val="32"/>
          <w:szCs w:val="32"/>
        </w:rPr>
      </w:pPr>
      <w:r>
        <w:rPr>
          <w:rFonts w:hint="eastAsia" w:ascii="黑体" w:hAnsi="仿宋" w:eastAsia="黑体"/>
          <w:color w:val="000000" w:themeColor="text1"/>
          <w:sz w:val="32"/>
          <w:szCs w:val="32"/>
        </w:rPr>
        <w:t>资产</w:t>
      </w:r>
      <w:r>
        <w:rPr>
          <w:rFonts w:hint="eastAsia" w:ascii="黑体" w:hAnsi="仿宋" w:eastAsia="黑体"/>
          <w:color w:val="000000" w:themeColor="text1"/>
          <w:sz w:val="32"/>
          <w:szCs w:val="32"/>
          <w:lang w:eastAsia="zh-CN"/>
        </w:rPr>
        <w:t>总量</w:t>
      </w:r>
      <w:r>
        <w:rPr>
          <w:rFonts w:hint="eastAsia" w:ascii="黑体" w:hAnsi="仿宋" w:eastAsia="黑体"/>
          <w:color w:val="000000" w:themeColor="text1"/>
          <w:sz w:val="32"/>
          <w:szCs w:val="32"/>
        </w:rPr>
        <w:t>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highlight w:val="yellow"/>
        </w:rPr>
      </w:pPr>
      <w:r>
        <w:rPr>
          <w:rFonts w:hint="eastAsia" w:ascii="楷体_GB2312" w:hAnsi="楷体_GB2312" w:eastAsia="楷体_GB2312" w:cs="楷体_GB2312"/>
          <w:color w:val="000000" w:themeColor="text1"/>
          <w:sz w:val="32"/>
          <w:szCs w:val="32"/>
          <w:lang w:eastAsia="zh-CN"/>
        </w:rPr>
        <w:t>（</w:t>
      </w:r>
      <w:r>
        <w:rPr>
          <w:rFonts w:hint="eastAsia" w:ascii="楷体_GB2312" w:hAnsi="楷体_GB2312" w:eastAsia="楷体_GB2312" w:cs="楷体_GB2312"/>
          <w:color w:val="000000" w:themeColor="text1"/>
          <w:sz w:val="32"/>
          <w:szCs w:val="32"/>
          <w:lang w:val="en-US" w:eastAsia="zh-CN"/>
        </w:rPr>
        <w:t>一</w:t>
      </w:r>
      <w:r>
        <w:rPr>
          <w:rFonts w:hint="eastAsia" w:ascii="楷体_GB2312" w:hAnsi="楷体_GB2312" w:eastAsia="楷体_GB2312" w:cs="楷体_GB2312"/>
          <w:color w:val="000000" w:themeColor="text1"/>
          <w:sz w:val="32"/>
          <w:szCs w:val="32"/>
          <w:lang w:eastAsia="zh-CN"/>
        </w:rPr>
        <w:t>）</w:t>
      </w:r>
      <w:r>
        <w:rPr>
          <w:rFonts w:hint="eastAsia" w:ascii="楷体_GB2312" w:hAnsi="楷体_GB2312" w:eastAsia="楷体_GB2312" w:cs="楷体_GB2312"/>
          <w:color w:val="000000" w:themeColor="text1"/>
          <w:sz w:val="32"/>
          <w:szCs w:val="32"/>
        </w:rPr>
        <w:t>资产的总体情况分析。</w:t>
      </w:r>
      <w:r>
        <w:rPr>
          <w:rFonts w:hint="eastAsia" w:ascii="仿宋_GB2312" w:eastAsia="仿宋_GB2312"/>
          <w:color w:val="000000" w:themeColor="text1"/>
          <w:sz w:val="32"/>
          <w:szCs w:val="32"/>
        </w:rPr>
        <w:t>主要包括本部门、本地区资产总量、分布、构成、变动等情况，同时可结合预算收支、债务、历年情况等对资产分布、构成、变动的原因作出分析。其中</w:t>
      </w:r>
      <w:r>
        <w:rPr>
          <w:rFonts w:ascii="仿宋_GB2312" w:eastAsia="仿宋_GB2312"/>
          <w:color w:val="000000" w:themeColor="text1"/>
          <w:sz w:val="32"/>
          <w:szCs w:val="32"/>
        </w:rPr>
        <w:t>，构成情况包含流动资产、</w:t>
      </w:r>
      <w:r>
        <w:rPr>
          <w:rFonts w:hint="eastAsia" w:ascii="仿宋_GB2312" w:eastAsia="仿宋_GB2312"/>
          <w:color w:val="000000" w:themeColor="text1"/>
          <w:sz w:val="32"/>
          <w:szCs w:val="32"/>
        </w:rPr>
        <w:t>无形资产</w:t>
      </w:r>
      <w:r>
        <w:rPr>
          <w:rFonts w:ascii="仿宋_GB2312" w:eastAsia="仿宋_GB2312"/>
          <w:color w:val="000000" w:themeColor="text1"/>
          <w:sz w:val="32"/>
          <w:szCs w:val="32"/>
        </w:rPr>
        <w:t>、固定资产</w:t>
      </w:r>
      <w:r>
        <w:rPr>
          <w:rFonts w:hint="eastAsia" w:ascii="仿宋_GB2312" w:eastAsia="仿宋_GB2312"/>
          <w:color w:val="000000" w:themeColor="text1"/>
          <w:sz w:val="32"/>
          <w:szCs w:val="32"/>
        </w:rPr>
        <w:t>、在建工程、</w:t>
      </w:r>
      <w:r>
        <w:rPr>
          <w:rFonts w:hint="eastAsia" w:ascii="仿宋_GB2312" w:eastAsia="仿宋_GB2312"/>
          <w:color w:val="000000" w:themeColor="text1"/>
          <w:sz w:val="32"/>
          <w:szCs w:val="32"/>
          <w:lang w:val="en-US" w:eastAsia="zh-CN"/>
        </w:rPr>
        <w:t>长期投资、</w:t>
      </w:r>
      <w:r>
        <w:rPr>
          <w:rFonts w:hint="eastAsia" w:ascii="仿宋_GB2312" w:eastAsia="仿宋_GB2312"/>
          <w:color w:val="000000" w:themeColor="text1"/>
          <w:sz w:val="32"/>
          <w:szCs w:val="32"/>
        </w:rPr>
        <w:t>公共基础设施、政府储备物资、文物文化资产、保障性住房、</w:t>
      </w:r>
      <w:r>
        <w:rPr>
          <w:rFonts w:ascii="仿宋_GB2312" w:eastAsia="仿宋_GB2312"/>
          <w:color w:val="000000" w:themeColor="text1"/>
          <w:sz w:val="32"/>
          <w:szCs w:val="32"/>
        </w:rPr>
        <w:t>PPP</w:t>
      </w:r>
      <w:r>
        <w:rPr>
          <w:rFonts w:hint="eastAsia" w:ascii="仿宋_GB2312" w:eastAsia="仿宋_GB2312"/>
          <w:color w:val="000000" w:themeColor="text1"/>
          <w:sz w:val="32"/>
          <w:szCs w:val="32"/>
        </w:rPr>
        <w:t>项目资产等</w:t>
      </w:r>
      <w:r>
        <w:rPr>
          <w:rFonts w:ascii="仿宋_GB2312" w:eastAsia="仿宋_GB2312"/>
          <w:color w:val="000000" w:themeColor="text1"/>
          <w:sz w:val="32"/>
          <w:szCs w:val="32"/>
        </w:rPr>
        <w:t>占</w:t>
      </w:r>
      <w:r>
        <w:rPr>
          <w:rFonts w:hint="eastAsia" w:ascii="仿宋_GB2312" w:eastAsia="仿宋_GB2312"/>
          <w:color w:val="000000" w:themeColor="text1"/>
          <w:sz w:val="32"/>
          <w:szCs w:val="32"/>
        </w:rPr>
        <w:t>资产总额比例</w:t>
      </w:r>
      <w:r>
        <w:rPr>
          <w:rFonts w:ascii="仿宋_GB2312" w:eastAsia="仿宋_GB2312"/>
          <w:color w:val="000000" w:themeColor="text1"/>
          <w:sz w:val="32"/>
          <w:szCs w:val="32"/>
        </w:rPr>
        <w:t>情况</w:t>
      </w:r>
      <w:r>
        <w:rPr>
          <w:rFonts w:hint="eastAsia" w:ascii="仿宋_GB2312" w:eastAsia="仿宋_GB2312"/>
          <w:color w:val="000000" w:themeColor="text1"/>
          <w:sz w:val="32"/>
          <w:szCs w:val="32"/>
        </w:rPr>
        <w:t>。</w:t>
      </w:r>
      <w:r>
        <w:rPr>
          <w:rFonts w:hint="eastAsia" w:ascii="仿宋_GB2312" w:hAnsi="仿宋_GB2312" w:eastAsia="仿宋_GB2312" w:cs="仿宋_GB2312"/>
          <w:color w:val="auto"/>
          <w:sz w:val="32"/>
          <w:szCs w:val="32"/>
        </w:rPr>
        <w:t>资产变动情况包含总资产增长率、流动资产增长率、固定资产增长率、无形资产增长率、公共基础设施增长率、政府储备物资增长率、文物文化资产增长率、保障性住房增长率等。</w:t>
      </w:r>
      <w:r>
        <w:rPr>
          <w:rFonts w:hint="eastAsia" w:ascii="仿宋_GB2312" w:hAnsi="仿宋_GB2312" w:eastAsia="仿宋_GB2312" w:cs="仿宋_GB2312"/>
          <w:color w:val="FF0000"/>
          <w:sz w:val="32"/>
          <w:szCs w:val="32"/>
          <w:lang w:val="en-US" w:eastAsia="zh-CN"/>
        </w:rPr>
        <w:t>省直部门、市级</w:t>
      </w:r>
      <w:r>
        <w:rPr>
          <w:rFonts w:hint="eastAsia" w:ascii="仿宋_GB2312" w:hAnsi="仿宋_GB2312" w:eastAsia="仿宋_GB2312" w:cs="仿宋_GB2312"/>
          <w:color w:val="FF0000"/>
          <w:sz w:val="32"/>
          <w:szCs w:val="32"/>
        </w:rPr>
        <w:t>财政部门应对</w:t>
      </w:r>
      <w:r>
        <w:rPr>
          <w:rFonts w:hint="eastAsia" w:ascii="仿宋_GB2312" w:hAnsi="仿宋_GB2312" w:eastAsia="仿宋_GB2312" w:cs="仿宋_GB2312"/>
          <w:color w:val="FF0000"/>
          <w:sz w:val="32"/>
          <w:szCs w:val="32"/>
          <w:lang w:val="en-US" w:eastAsia="zh-CN"/>
        </w:rPr>
        <w:t>本部门、</w:t>
      </w:r>
      <w:r>
        <w:rPr>
          <w:rFonts w:hint="eastAsia" w:ascii="仿宋_GB2312" w:hAnsi="仿宋_GB2312" w:eastAsia="仿宋_GB2312" w:cs="仿宋_GB2312"/>
          <w:color w:val="FF0000"/>
          <w:sz w:val="32"/>
          <w:szCs w:val="32"/>
        </w:rPr>
        <w:t>本地区</w:t>
      </w:r>
      <w:r>
        <w:rPr>
          <w:rFonts w:hint="eastAsia" w:ascii="仿宋_GB2312" w:hAnsi="仿宋_GB2312" w:eastAsia="仿宋_GB2312" w:cs="仿宋_GB2312"/>
          <w:color w:val="FF0000"/>
          <w:kern w:val="0"/>
          <w:sz w:val="32"/>
          <w:szCs w:val="32"/>
        </w:rPr>
        <w:t>教育、卫生、文化、交通、</w:t>
      </w:r>
      <w:r>
        <w:rPr>
          <w:rFonts w:hint="eastAsia" w:ascii="仿宋_GB2312" w:hAnsi="仿宋_GB2312" w:eastAsia="仿宋_GB2312" w:cs="仿宋_GB2312"/>
          <w:color w:val="FF0000"/>
          <w:kern w:val="0"/>
          <w:sz w:val="32"/>
          <w:szCs w:val="32"/>
          <w:lang w:val="en-US" w:eastAsia="zh-CN"/>
        </w:rPr>
        <w:t>水利、</w:t>
      </w:r>
      <w:r>
        <w:rPr>
          <w:rFonts w:hint="eastAsia" w:ascii="仿宋_GB2312" w:hAnsi="仿宋_GB2312" w:eastAsia="仿宋_GB2312" w:cs="仿宋_GB2312"/>
          <w:color w:val="FF0000"/>
          <w:kern w:val="0"/>
          <w:sz w:val="32"/>
          <w:szCs w:val="32"/>
        </w:rPr>
        <w:t>科技等</w:t>
      </w:r>
      <w:r>
        <w:rPr>
          <w:rFonts w:hint="eastAsia" w:ascii="仿宋_GB2312" w:hAnsi="仿宋_GB2312" w:eastAsia="仿宋_GB2312" w:cs="仿宋_GB2312"/>
          <w:color w:val="FF0000"/>
          <w:sz w:val="32"/>
          <w:szCs w:val="32"/>
        </w:rPr>
        <w:t>重点行业进行分析。</w:t>
      </w:r>
    </w:p>
    <w:p>
      <w:pPr>
        <w:keepNext w:val="0"/>
        <w:keepLines w:val="0"/>
        <w:pageBreakBefore w:val="0"/>
        <w:kinsoku/>
        <w:wordWrap/>
        <w:overflowPunct/>
        <w:topLinePunct w:val="0"/>
        <w:autoSpaceDE/>
        <w:autoSpaceDN/>
        <w:bidi w:val="0"/>
        <w:adjustRightInd/>
        <w:snapToGrid/>
        <w:spacing w:line="560" w:lineRule="exact"/>
        <w:ind w:firstLine="633" w:firstLineChars="198"/>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000000" w:themeColor="text1"/>
          <w:sz w:val="32"/>
          <w:szCs w:val="32"/>
        </w:rPr>
        <w:t>（二）资产配置、使用、处置、收益情况分析。</w:t>
      </w:r>
      <w:r>
        <w:rPr>
          <w:rFonts w:hint="eastAsia" w:ascii="仿宋_GB2312" w:eastAsia="仿宋_GB2312"/>
          <w:color w:val="000000" w:themeColor="text1"/>
          <w:sz w:val="32"/>
          <w:szCs w:val="32"/>
        </w:rPr>
        <w:t>分析本部门、本地区资产整体配置、使用、处置、收益情况，特别是与部门、单位履行职能和促进行政管理、事业发展相关的重点资产的配置、使用、处置、收益等情况。</w:t>
      </w:r>
      <w:r>
        <w:rPr>
          <w:rFonts w:hint="eastAsia" w:ascii="仿宋_GB2312" w:hAnsi="仿宋_GB2312" w:eastAsia="仿宋_GB2312" w:cs="仿宋_GB2312"/>
          <w:color w:val="auto"/>
          <w:sz w:val="32"/>
          <w:szCs w:val="32"/>
        </w:rPr>
        <w:t>其中，资产配置情况</w:t>
      </w:r>
      <w:r>
        <w:rPr>
          <w:rFonts w:hint="eastAsia" w:ascii="仿宋_GB2312" w:hAnsi="仿宋_GB2312" w:eastAsia="仿宋_GB2312" w:cs="仿宋_GB2312"/>
          <w:color w:val="auto"/>
          <w:sz w:val="32"/>
          <w:szCs w:val="32"/>
          <w:lang w:val="en-US" w:eastAsia="zh-CN"/>
        </w:rPr>
        <w:t>应</w:t>
      </w:r>
      <w:r>
        <w:rPr>
          <w:rFonts w:hint="eastAsia" w:ascii="仿宋_GB2312" w:hAnsi="仿宋_GB2312" w:eastAsia="仿宋_GB2312" w:cs="仿宋_GB2312"/>
          <w:color w:val="auto"/>
          <w:sz w:val="32"/>
          <w:szCs w:val="32"/>
        </w:rPr>
        <w:t>包含本期配置固定资产、无形资产和在建工程情况；资产使用情况包含本期新增出租出借资产及对外投资情况；资产收益情况</w:t>
      </w:r>
      <w:r>
        <w:rPr>
          <w:rFonts w:hint="eastAsia" w:ascii="仿宋_GB2312" w:hAnsi="仿宋_GB2312" w:eastAsia="仿宋_GB2312" w:cs="仿宋_GB2312"/>
          <w:color w:val="auto"/>
          <w:sz w:val="32"/>
          <w:szCs w:val="32"/>
          <w:lang w:val="en-US" w:eastAsia="zh-CN"/>
        </w:rPr>
        <w:t>应</w:t>
      </w:r>
      <w:r>
        <w:rPr>
          <w:rFonts w:hint="eastAsia" w:ascii="仿宋_GB2312" w:hAnsi="仿宋_GB2312" w:eastAsia="仿宋_GB2312" w:cs="仿宋_GB2312"/>
          <w:color w:val="auto"/>
          <w:sz w:val="32"/>
          <w:szCs w:val="32"/>
        </w:rPr>
        <w:t>包含利用国有资产对外投资、出租出借或处置国有资产取得的收益情况。</w:t>
      </w:r>
      <w:r>
        <w:rPr>
          <w:rFonts w:hint="eastAsia" w:ascii="仿宋_GB2312" w:hAnsi="仿宋_GB2312" w:eastAsia="仿宋_GB2312" w:cs="仿宋_GB2312"/>
          <w:color w:val="auto"/>
          <w:sz w:val="32"/>
          <w:szCs w:val="32"/>
          <w:lang w:val="en-US" w:eastAsia="zh-CN"/>
        </w:rPr>
        <w:t>特别是土地、房屋、车辆、大型仪器设备、在建工程等重点资产的配置、使用、处置、收益情况。</w:t>
      </w:r>
    </w:p>
    <w:p>
      <w:pPr>
        <w:keepNext w:val="0"/>
        <w:keepLines w:val="0"/>
        <w:pageBreakBefore w:val="0"/>
        <w:tabs>
          <w:tab w:val="left" w:pos="8595"/>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color w:val="auto"/>
          <w:kern w:val="0"/>
          <w:sz w:val="32"/>
          <w:szCs w:val="32"/>
        </w:rPr>
      </w:pPr>
      <w:r>
        <w:rPr>
          <w:rFonts w:hint="eastAsia" w:ascii="楷体_GB2312" w:hAnsi="楷体_GB2312" w:eastAsia="楷体_GB2312" w:cs="楷体_GB2312"/>
          <w:color w:val="000000" w:themeColor="text1"/>
          <w:sz w:val="32"/>
          <w:szCs w:val="32"/>
        </w:rPr>
        <w:t>（三）资产总体绩效情况。</w:t>
      </w:r>
      <w:r>
        <w:rPr>
          <w:rFonts w:hint="eastAsia" w:ascii="仿宋_GB2312" w:eastAsia="仿宋_GB2312"/>
          <w:color w:val="000000" w:themeColor="text1"/>
          <w:sz w:val="32"/>
          <w:szCs w:val="32"/>
        </w:rPr>
        <w:t>分析本部门、本地区资产整体配置效率和使用效益等</w:t>
      </w:r>
      <w:r>
        <w:rPr>
          <w:rFonts w:hint="eastAsia" w:ascii="仿宋_GB2312" w:hAnsi="仿宋_GB2312" w:eastAsia="仿宋_GB2312" w:cs="仿宋_GB2312"/>
          <w:color w:val="auto"/>
          <w:sz w:val="32"/>
          <w:szCs w:val="32"/>
        </w:rPr>
        <w:t>、存量资产盘活和共享共用情况、资产保值增值情况等。其中，资产配置效率包含人均占有办公室使用面积、人均占有通用设备数量等主要指标分析；资产使用效益包含资产闲置率、出租出借收益率、对外投资收益率等主要指标分析。公共基础设施、政府储备物资、文物文化资产、保障性住房应包含资产入账转化率、增长率、运营效率等主要指标分析。</w:t>
      </w:r>
    </w:p>
    <w:p>
      <w:pPr>
        <w:keepNext w:val="0"/>
        <w:keepLines w:val="0"/>
        <w:pageBreakBefore w:val="0"/>
        <w:kinsoku/>
        <w:wordWrap/>
        <w:overflowPunct/>
        <w:topLinePunct w:val="0"/>
        <w:autoSpaceDE/>
        <w:autoSpaceDN/>
        <w:bidi w:val="0"/>
        <w:adjustRightInd/>
        <w:snapToGrid/>
        <w:spacing w:line="560" w:lineRule="exact"/>
        <w:ind w:firstLine="720" w:firstLineChars="225"/>
        <w:textAlignment w:val="auto"/>
        <w:rPr>
          <w:rFonts w:ascii="黑体" w:hAnsi="黑体" w:eastAsia="黑体"/>
          <w:color w:val="000000" w:themeColor="text1"/>
          <w:sz w:val="32"/>
          <w:szCs w:val="32"/>
        </w:rPr>
      </w:pPr>
      <w:r>
        <w:rPr>
          <w:rFonts w:hint="eastAsia" w:ascii="黑体" w:hAnsi="黑体" w:eastAsia="黑体"/>
          <w:color w:val="000000" w:themeColor="text1"/>
          <w:sz w:val="32"/>
          <w:szCs w:val="32"/>
        </w:rPr>
        <w:t>三、资产管理工作情况及成效</w:t>
      </w:r>
    </w:p>
    <w:p>
      <w:pPr>
        <w:pStyle w:val="17"/>
        <w:keepNext w:val="0"/>
        <w:keepLines w:val="0"/>
        <w:pageBreakBefore w:val="0"/>
        <w:kinsoku/>
        <w:wordWrap/>
        <w:overflowPunct/>
        <w:topLinePunct w:val="0"/>
        <w:autoSpaceDE/>
        <w:autoSpaceDN/>
        <w:bidi w:val="0"/>
        <w:adjustRightInd/>
        <w:snapToGrid/>
        <w:spacing w:line="560" w:lineRule="exact"/>
        <w:ind w:left="160" w:leftChars="76" w:firstLine="640"/>
        <w:textAlignment w:val="auto"/>
        <w:rPr>
          <w:rFonts w:ascii="仿宋_GB2312" w:hAnsi="楷体" w:eastAsia="仿宋_GB2312"/>
          <w:color w:val="000000" w:themeColor="text1"/>
          <w:kern w:val="0"/>
          <w:sz w:val="32"/>
          <w:szCs w:val="32"/>
        </w:rPr>
      </w:pPr>
      <w:r>
        <w:rPr>
          <w:rFonts w:hint="eastAsia" w:ascii="楷体_GB2312" w:hAnsi="楷体_GB2312" w:eastAsia="楷体_GB2312" w:cs="楷体_GB2312"/>
          <w:color w:val="000000" w:themeColor="text1"/>
          <w:kern w:val="0"/>
          <w:sz w:val="32"/>
          <w:szCs w:val="32"/>
        </w:rPr>
        <w:t>（一）</w:t>
      </w:r>
      <w:r>
        <w:rPr>
          <w:rFonts w:hint="eastAsia" w:ascii="仿宋_GB2312" w:hAnsi="楷体" w:eastAsia="仿宋_GB2312"/>
          <w:color w:val="000000" w:themeColor="text1"/>
          <w:kern w:val="0"/>
          <w:sz w:val="32"/>
          <w:szCs w:val="32"/>
        </w:rPr>
        <w:t>认真总结本部门、本地区在制度制定、</w:t>
      </w:r>
      <w:r>
        <w:rPr>
          <w:rFonts w:hint="eastAsia" w:ascii="仿宋_GB2312" w:hAnsi="楷体" w:eastAsia="仿宋_GB2312"/>
          <w:color w:val="000000" w:themeColor="text1"/>
          <w:kern w:val="0"/>
          <w:sz w:val="32"/>
          <w:szCs w:val="32"/>
          <w:lang w:eastAsia="zh-CN"/>
        </w:rPr>
        <w:t>全生命周期</w:t>
      </w:r>
      <w:r>
        <w:rPr>
          <w:rFonts w:hint="eastAsia" w:ascii="仿宋_GB2312" w:hAnsi="楷体" w:eastAsia="仿宋_GB2312"/>
          <w:color w:val="000000" w:themeColor="text1"/>
          <w:kern w:val="0"/>
          <w:sz w:val="32"/>
          <w:szCs w:val="32"/>
        </w:rPr>
        <w:t>管理以及</w:t>
      </w:r>
      <w:r>
        <w:rPr>
          <w:rFonts w:hint="eastAsia" w:ascii="仿宋_GB2312" w:hAnsi="楷体" w:eastAsia="仿宋_GB2312"/>
          <w:color w:val="000000" w:themeColor="text1"/>
          <w:kern w:val="0"/>
          <w:sz w:val="32"/>
          <w:szCs w:val="32"/>
          <w:lang w:val="en-US" w:eastAsia="zh-CN"/>
        </w:rPr>
        <w:t>信息化建设</w:t>
      </w:r>
      <w:r>
        <w:rPr>
          <w:rFonts w:hint="eastAsia" w:ascii="仿宋_GB2312" w:hAnsi="楷体" w:eastAsia="仿宋_GB2312"/>
          <w:color w:val="000000" w:themeColor="text1"/>
          <w:kern w:val="0"/>
          <w:sz w:val="32"/>
          <w:szCs w:val="32"/>
        </w:rPr>
        <w:t>等方面的情况，重点反映加强资源统筹、提高资产运行绩效、强化</w:t>
      </w:r>
      <w:r>
        <w:rPr>
          <w:rFonts w:hint="eastAsia" w:ascii="仿宋_GB2312" w:hAnsi="楷体" w:eastAsia="仿宋_GB2312"/>
          <w:color w:val="000000" w:themeColor="text1"/>
          <w:kern w:val="0"/>
          <w:sz w:val="32"/>
          <w:szCs w:val="32"/>
          <w:lang w:eastAsia="zh-CN"/>
        </w:rPr>
        <w:t>基础</w:t>
      </w:r>
      <w:r>
        <w:rPr>
          <w:rFonts w:hint="eastAsia" w:ascii="仿宋_GB2312" w:hAnsi="楷体" w:eastAsia="仿宋_GB2312"/>
          <w:color w:val="000000" w:themeColor="text1"/>
          <w:kern w:val="0"/>
          <w:sz w:val="32"/>
          <w:szCs w:val="32"/>
        </w:rPr>
        <w:t>管理等方面的举措。财政部门应对本地区资产管理信息系统建设情况和融入预算一体化系统的工作进行总结。</w:t>
      </w:r>
    </w:p>
    <w:p>
      <w:pPr>
        <w:pStyle w:val="17"/>
        <w:keepNext w:val="0"/>
        <w:keepLines w:val="0"/>
        <w:pageBreakBefore w:val="0"/>
        <w:kinsoku/>
        <w:wordWrap/>
        <w:overflowPunct/>
        <w:topLinePunct w:val="0"/>
        <w:autoSpaceDE/>
        <w:autoSpaceDN/>
        <w:bidi w:val="0"/>
        <w:adjustRightInd/>
        <w:snapToGrid/>
        <w:spacing w:line="560" w:lineRule="exact"/>
        <w:ind w:left="160" w:leftChars="76" w:firstLine="640"/>
        <w:textAlignment w:val="auto"/>
        <w:rPr>
          <w:rFonts w:ascii="仿宋_GB2312" w:hAnsi="华文仿宋" w:eastAsia="仿宋_GB2312" w:cs="华文仿宋"/>
          <w:color w:val="FF0000"/>
          <w:kern w:val="0"/>
          <w:sz w:val="32"/>
          <w:szCs w:val="32"/>
        </w:rPr>
      </w:pPr>
      <w:r>
        <w:rPr>
          <w:rFonts w:hint="eastAsia" w:ascii="楷体_GB2312" w:hAnsi="楷体_GB2312" w:eastAsia="楷体_GB2312" w:cs="楷体_GB2312"/>
          <w:color w:val="000000" w:themeColor="text1"/>
          <w:kern w:val="0"/>
          <w:sz w:val="32"/>
          <w:szCs w:val="32"/>
        </w:rPr>
        <w:t>（二）</w:t>
      </w:r>
      <w:r>
        <w:rPr>
          <w:rFonts w:hint="eastAsia" w:ascii="仿宋_GB2312" w:hAnsi="楷体" w:eastAsia="仿宋_GB2312"/>
          <w:color w:val="000000" w:themeColor="text1"/>
          <w:kern w:val="0"/>
          <w:sz w:val="32"/>
          <w:szCs w:val="32"/>
        </w:rPr>
        <w:t>全面反映本部门、本地区行政事业性国有资产管理在贯彻落实党中央、国务院</w:t>
      </w:r>
      <w:r>
        <w:rPr>
          <w:rFonts w:hint="eastAsia" w:ascii="仿宋_GB2312" w:hAnsi="楷体" w:eastAsia="仿宋_GB2312"/>
          <w:color w:val="000000" w:themeColor="text1"/>
          <w:kern w:val="0"/>
          <w:sz w:val="32"/>
          <w:szCs w:val="32"/>
          <w:lang w:eastAsia="zh-CN"/>
        </w:rPr>
        <w:t>、</w:t>
      </w:r>
      <w:r>
        <w:rPr>
          <w:rFonts w:hint="eastAsia" w:ascii="仿宋_GB2312" w:hAnsi="仿宋_GB2312" w:eastAsia="仿宋_GB2312" w:cs="仿宋_GB2312"/>
          <w:color w:val="auto"/>
          <w:kern w:val="0"/>
          <w:sz w:val="32"/>
          <w:szCs w:val="32"/>
          <w:lang w:val="en-US" w:eastAsia="zh-CN"/>
        </w:rPr>
        <w:t>省委省政府</w:t>
      </w:r>
      <w:r>
        <w:rPr>
          <w:rFonts w:hint="eastAsia" w:ascii="仿宋_GB2312" w:hAnsi="仿宋_GB2312" w:eastAsia="仿宋_GB2312" w:cs="仿宋_GB2312"/>
          <w:color w:val="auto"/>
          <w:kern w:val="0"/>
          <w:sz w:val="32"/>
          <w:szCs w:val="32"/>
        </w:rPr>
        <w:t>决策部署</w:t>
      </w:r>
      <w:r>
        <w:rPr>
          <w:rFonts w:hint="eastAsia" w:ascii="仿宋_GB2312" w:hAnsi="楷体" w:eastAsia="仿宋_GB2312"/>
          <w:color w:val="000000" w:themeColor="text1"/>
          <w:kern w:val="0"/>
          <w:sz w:val="32"/>
          <w:szCs w:val="32"/>
        </w:rPr>
        <w:t>，保障行政运转</w:t>
      </w:r>
      <w:r>
        <w:rPr>
          <w:rFonts w:hint="eastAsia" w:ascii="仿宋_GB2312" w:hAnsi="华文仿宋" w:eastAsia="仿宋_GB2312" w:cs="华文仿宋"/>
          <w:color w:val="000000" w:themeColor="text1"/>
          <w:kern w:val="0"/>
          <w:sz w:val="32"/>
          <w:szCs w:val="32"/>
        </w:rPr>
        <w:t>，</w:t>
      </w:r>
      <w:r>
        <w:rPr>
          <w:rFonts w:hint="eastAsia" w:ascii="仿宋_GB2312" w:hAnsi="楷体" w:eastAsia="仿宋_GB2312"/>
          <w:color w:val="000000" w:themeColor="text1"/>
          <w:kern w:val="0"/>
          <w:sz w:val="32"/>
          <w:szCs w:val="32"/>
        </w:rPr>
        <w:t>提供社会</w:t>
      </w:r>
      <w:r>
        <w:rPr>
          <w:rFonts w:hint="eastAsia" w:ascii="仿宋_GB2312" w:hAnsi="华文仿宋" w:eastAsia="仿宋_GB2312" w:cs="华文仿宋"/>
          <w:color w:val="000000" w:themeColor="text1"/>
          <w:kern w:val="0"/>
          <w:sz w:val="32"/>
          <w:szCs w:val="32"/>
        </w:rPr>
        <w:t>公共服务以及</w:t>
      </w:r>
      <w:r>
        <w:rPr>
          <w:rFonts w:hint="eastAsia" w:ascii="仿宋_GB2312" w:hAnsi="楷体" w:eastAsia="仿宋_GB2312"/>
          <w:color w:val="000000" w:themeColor="text1"/>
          <w:kern w:val="0"/>
          <w:sz w:val="32"/>
          <w:szCs w:val="32"/>
        </w:rPr>
        <w:t>推进行政事业单位各项改革</w:t>
      </w:r>
      <w:r>
        <w:rPr>
          <w:rFonts w:hint="eastAsia" w:ascii="仿宋_GB2312" w:hAnsi="华文仿宋" w:eastAsia="仿宋_GB2312" w:cs="华文仿宋"/>
          <w:color w:val="000000" w:themeColor="text1"/>
          <w:kern w:val="0"/>
          <w:sz w:val="32"/>
          <w:szCs w:val="32"/>
        </w:rPr>
        <w:t>等方面所发挥的</w:t>
      </w:r>
      <w:r>
        <w:rPr>
          <w:rFonts w:hint="eastAsia" w:ascii="仿宋_GB2312" w:hAnsi="楷体" w:eastAsia="仿宋_GB2312"/>
          <w:color w:val="000000" w:themeColor="text1"/>
          <w:kern w:val="0"/>
          <w:sz w:val="32"/>
          <w:szCs w:val="32"/>
        </w:rPr>
        <w:t>积极</w:t>
      </w:r>
      <w:r>
        <w:rPr>
          <w:rFonts w:hint="eastAsia" w:ascii="仿宋_GB2312" w:hAnsi="华文仿宋" w:eastAsia="仿宋_GB2312" w:cs="华文仿宋"/>
          <w:color w:val="000000" w:themeColor="text1"/>
          <w:kern w:val="0"/>
          <w:sz w:val="32"/>
          <w:szCs w:val="32"/>
        </w:rPr>
        <w:t>作用。</w:t>
      </w:r>
      <w:r>
        <w:rPr>
          <w:rFonts w:hint="eastAsia" w:ascii="仿宋_GB2312" w:hAnsi="华文仿宋" w:eastAsia="仿宋_GB2312" w:cs="华文仿宋"/>
          <w:color w:val="FF0000"/>
          <w:kern w:val="0"/>
          <w:sz w:val="32"/>
          <w:szCs w:val="32"/>
        </w:rPr>
        <w:t>重点反映</w:t>
      </w:r>
      <w:r>
        <w:rPr>
          <w:rFonts w:hint="eastAsia" w:ascii="仿宋_GB2312" w:hAnsi="楷体" w:eastAsia="仿宋_GB2312"/>
          <w:color w:val="FF0000"/>
          <w:kern w:val="0"/>
          <w:sz w:val="32"/>
          <w:szCs w:val="32"/>
        </w:rPr>
        <w:t>教育、卫生、文化、科技等行业</w:t>
      </w:r>
      <w:r>
        <w:rPr>
          <w:rFonts w:hint="eastAsia" w:ascii="仿宋_GB2312" w:hAnsi="华文仿宋" w:eastAsia="仿宋_GB2312" w:cs="华文仿宋"/>
          <w:color w:val="FF0000"/>
          <w:kern w:val="0"/>
          <w:sz w:val="32"/>
          <w:szCs w:val="32"/>
        </w:rPr>
        <w:t>资产在抗击新冠肺炎疫情、促进公共服务均等化、助力乡村振兴、提升创新能力等工作中发挥的作用。</w:t>
      </w:r>
    </w:p>
    <w:p>
      <w:pPr>
        <w:pStyle w:val="17"/>
        <w:keepNext w:val="0"/>
        <w:keepLines w:val="0"/>
        <w:pageBreakBefore w:val="0"/>
        <w:kinsoku/>
        <w:wordWrap/>
        <w:overflowPunct/>
        <w:topLinePunct w:val="0"/>
        <w:autoSpaceDE/>
        <w:autoSpaceDN/>
        <w:bidi w:val="0"/>
        <w:adjustRightInd/>
        <w:snapToGrid/>
        <w:spacing w:line="560" w:lineRule="exact"/>
        <w:ind w:left="160" w:leftChars="76" w:firstLine="640"/>
        <w:textAlignment w:val="auto"/>
        <w:rPr>
          <w:rFonts w:ascii="仿宋_GB2312" w:hAnsi="楷体" w:eastAsia="仿宋_GB2312"/>
          <w:color w:val="000000" w:themeColor="text1"/>
          <w:kern w:val="0"/>
          <w:sz w:val="32"/>
          <w:szCs w:val="32"/>
        </w:rPr>
      </w:pPr>
      <w:r>
        <w:rPr>
          <w:rFonts w:hint="eastAsia" w:ascii="仿宋_GB2312" w:hAnsi="华文仿宋" w:eastAsia="仿宋_GB2312" w:cs="华文仿宋"/>
          <w:color w:val="000000" w:themeColor="text1"/>
          <w:kern w:val="0"/>
          <w:sz w:val="32"/>
          <w:szCs w:val="32"/>
        </w:rPr>
        <w:t>（三）全面总结</w:t>
      </w:r>
      <w:r>
        <w:rPr>
          <w:rFonts w:hint="eastAsia" w:ascii="仿宋_GB2312" w:hAnsi="楷体" w:eastAsia="仿宋_GB2312"/>
          <w:color w:val="000000" w:themeColor="text1"/>
          <w:kern w:val="0"/>
          <w:sz w:val="32"/>
          <w:szCs w:val="32"/>
        </w:rPr>
        <w:t>本部门、本地区公共基础设施等行政事业性国有资产管理情况，</w:t>
      </w:r>
      <w:r>
        <w:rPr>
          <w:rFonts w:hint="eastAsia" w:ascii="仿宋_GB2312" w:eastAsia="仿宋_GB2312"/>
          <w:color w:val="000000" w:themeColor="text1"/>
          <w:sz w:val="32"/>
          <w:szCs w:val="32"/>
          <w:lang w:val="en"/>
        </w:rPr>
        <w:t>重点反映公路资产、</w:t>
      </w:r>
      <w:r>
        <w:rPr>
          <w:rFonts w:ascii="仿宋_GB2312" w:eastAsia="仿宋_GB2312"/>
          <w:color w:val="000000" w:themeColor="text1"/>
          <w:sz w:val="32"/>
          <w:szCs w:val="32"/>
          <w:lang w:val="en"/>
        </w:rPr>
        <w:t>水利资产</w:t>
      </w:r>
      <w:r>
        <w:rPr>
          <w:rFonts w:hint="eastAsia" w:ascii="仿宋_GB2312" w:eastAsia="仿宋_GB2312"/>
          <w:color w:val="000000" w:themeColor="text1"/>
          <w:sz w:val="32"/>
          <w:szCs w:val="32"/>
          <w:lang w:val="en"/>
        </w:rPr>
        <w:t>专项清查</w:t>
      </w:r>
      <w:r>
        <w:rPr>
          <w:rFonts w:hint="eastAsia" w:ascii="仿宋_GB2312" w:eastAsia="仿宋_GB2312"/>
          <w:color w:val="000000" w:themeColor="text1"/>
          <w:sz w:val="32"/>
          <w:szCs w:val="32"/>
          <w:lang w:val="en-US" w:eastAsia="zh-CN"/>
        </w:rPr>
        <w:t>以及市政公共基础设施、保障性住房调研</w:t>
      </w:r>
      <w:r>
        <w:rPr>
          <w:rFonts w:hint="eastAsia" w:ascii="仿宋_GB2312" w:eastAsia="仿宋_GB2312"/>
          <w:color w:val="000000" w:themeColor="text1"/>
          <w:sz w:val="32"/>
          <w:szCs w:val="32"/>
          <w:lang w:val="en"/>
        </w:rPr>
        <w:t>情况。</w:t>
      </w:r>
    </w:p>
    <w:p>
      <w:pPr>
        <w:pStyle w:val="17"/>
        <w:keepNext w:val="0"/>
        <w:keepLines w:val="0"/>
        <w:pageBreakBefore w:val="0"/>
        <w:kinsoku/>
        <w:wordWrap/>
        <w:overflowPunct/>
        <w:topLinePunct w:val="0"/>
        <w:autoSpaceDE/>
        <w:autoSpaceDN/>
        <w:bidi w:val="0"/>
        <w:adjustRightInd/>
        <w:snapToGrid/>
        <w:spacing w:line="560" w:lineRule="exact"/>
        <w:ind w:left="160" w:leftChars="76" w:firstLine="640"/>
        <w:textAlignment w:val="auto"/>
        <w:rPr>
          <w:rFonts w:ascii="仿宋_GB2312" w:hAnsi="华文仿宋" w:eastAsia="仿宋_GB2312" w:cs="华文仿宋"/>
          <w:color w:val="000000" w:themeColor="text1"/>
          <w:kern w:val="0"/>
          <w:sz w:val="32"/>
          <w:szCs w:val="32"/>
        </w:rPr>
      </w:pPr>
      <w:r>
        <w:rPr>
          <w:rFonts w:hint="eastAsia" w:ascii="仿宋_GB2312" w:eastAsia="仿宋_GB2312"/>
          <w:color w:val="000000" w:themeColor="text1"/>
          <w:sz w:val="32"/>
          <w:szCs w:val="32"/>
        </w:rPr>
        <w:t>（四）梳理</w:t>
      </w:r>
      <w:r>
        <w:rPr>
          <w:rFonts w:hint="eastAsia" w:ascii="仿宋_GB2312" w:hAnsi="华文仿宋" w:eastAsia="仿宋_GB2312" w:cs="华文仿宋"/>
          <w:bCs/>
          <w:color w:val="000000" w:themeColor="text1"/>
          <w:kern w:val="0"/>
          <w:sz w:val="32"/>
          <w:szCs w:val="32"/>
        </w:rPr>
        <w:t>人大、审计、巡视等提出的行政事业性国有资产管理问题及建议，总结整改措施和整改进展情况。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仿宋" w:eastAsia="黑体"/>
          <w:color w:val="000000" w:themeColor="text1"/>
          <w:sz w:val="32"/>
          <w:szCs w:val="32"/>
          <w:highlight w:val="none"/>
          <w:lang w:val="en" w:eastAsia="zh-CN"/>
        </w:rPr>
      </w:pPr>
      <w:r>
        <w:rPr>
          <w:rFonts w:hint="eastAsia" w:ascii="黑体" w:hAnsi="仿宋" w:eastAsia="黑体"/>
          <w:color w:val="000000" w:themeColor="text1"/>
          <w:sz w:val="32"/>
          <w:szCs w:val="32"/>
          <w:highlight w:val="none"/>
        </w:rPr>
        <w:t>四、</w:t>
      </w:r>
      <w:r>
        <w:rPr>
          <w:rFonts w:hint="eastAsia" w:ascii="黑体" w:hAnsi="仿宋" w:eastAsia="黑体"/>
          <w:color w:val="000000" w:themeColor="text1"/>
          <w:sz w:val="32"/>
          <w:szCs w:val="32"/>
          <w:highlight w:val="none"/>
          <w:lang w:eastAsia="zh-CN"/>
        </w:rPr>
        <w:t>资产盘活工作举措和成效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000000" w:themeColor="text1"/>
          <w:kern w:val="2"/>
          <w:sz w:val="32"/>
          <w:szCs w:val="32"/>
          <w:highlight w:val="none"/>
          <w:lang w:val="en-US" w:eastAsia="zh-CN" w:bidi="ar-SA"/>
        </w:rPr>
      </w:pPr>
      <w:r>
        <w:rPr>
          <w:rFonts w:hint="eastAsia" w:ascii="仿宋_GB2312" w:eastAsia="仿宋_GB2312" w:cs="Times New Roman"/>
          <w:color w:val="000000" w:themeColor="text1"/>
          <w:kern w:val="2"/>
          <w:sz w:val="32"/>
          <w:szCs w:val="32"/>
          <w:highlight w:val="none"/>
          <w:lang w:val="en-US" w:eastAsia="zh-CN" w:bidi="ar-SA"/>
        </w:rPr>
        <w:t>根据</w:t>
      </w:r>
      <w:r>
        <w:rPr>
          <w:rFonts w:hint="eastAsia" w:ascii="仿宋_GB2312" w:hAnsi="Calibri" w:eastAsia="仿宋_GB2312" w:cs="Times New Roman"/>
          <w:color w:val="000000" w:themeColor="text1"/>
          <w:kern w:val="2"/>
          <w:sz w:val="32"/>
          <w:szCs w:val="32"/>
          <w:highlight w:val="none"/>
          <w:lang w:val="en-US" w:eastAsia="zh-CN" w:bidi="ar-SA"/>
        </w:rPr>
        <w:t>《财政部关于盘活行政事业单位国有资产的指导意见》（财资〔2022〕124号）</w:t>
      </w:r>
      <w:r>
        <w:rPr>
          <w:rFonts w:hint="eastAsia" w:ascii="仿宋_GB2312" w:eastAsia="仿宋_GB2312" w:cs="Times New Roman"/>
          <w:color w:val="000000" w:themeColor="text1"/>
          <w:kern w:val="2"/>
          <w:sz w:val="32"/>
          <w:szCs w:val="32"/>
          <w:highlight w:val="none"/>
          <w:lang w:val="en-US" w:eastAsia="zh-CN" w:bidi="ar-SA"/>
        </w:rPr>
        <w:t>及我省低效闲置资产清查处理工作安排，汇总反映本部门、本地区推进行政事业单位国有资产盘活利用的相关举措和工作成效。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000000" w:themeColor="text1"/>
          <w:sz w:val="32"/>
          <w:szCs w:val="32"/>
          <w:highlight w:val="none"/>
        </w:rPr>
      </w:pPr>
      <w:r>
        <w:rPr>
          <w:rFonts w:hint="eastAsia" w:ascii="黑体" w:hAnsi="黑体" w:eastAsia="黑体"/>
          <w:color w:val="000000" w:themeColor="text1"/>
          <w:sz w:val="32"/>
          <w:szCs w:val="32"/>
          <w:highlight w:val="none"/>
          <w:lang w:eastAsia="zh-CN"/>
        </w:rPr>
        <w:t>五、</w:t>
      </w:r>
      <w:r>
        <w:rPr>
          <w:rFonts w:hint="eastAsia" w:ascii="黑体" w:hAnsi="黑体" w:eastAsia="黑体"/>
          <w:color w:val="000000" w:themeColor="text1"/>
          <w:sz w:val="32"/>
          <w:szCs w:val="32"/>
          <w:highlight w:val="none"/>
        </w:rPr>
        <w:t>资产管理工作存在的问题及建议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000000" w:themeColor="text1"/>
          <w:sz w:val="32"/>
          <w:szCs w:val="32"/>
          <w:highlight w:val="none"/>
        </w:rPr>
      </w:pPr>
      <w:r>
        <w:rPr>
          <w:rFonts w:hint="eastAsia" w:ascii="仿宋_GB2312" w:eastAsia="仿宋_GB2312"/>
          <w:color w:val="000000" w:themeColor="text1"/>
          <w:sz w:val="32"/>
          <w:szCs w:val="32"/>
          <w:highlight w:val="none"/>
        </w:rPr>
        <w:t>对照</w:t>
      </w:r>
      <w:r>
        <w:rPr>
          <w:rFonts w:hint="eastAsia" w:ascii="仿宋_GB2312" w:hAnsi="楷体" w:eastAsia="仿宋_GB2312"/>
          <w:color w:val="000000" w:themeColor="text1"/>
          <w:kern w:val="0"/>
          <w:sz w:val="32"/>
          <w:szCs w:val="32"/>
          <w:highlight w:val="none"/>
        </w:rPr>
        <w:t>《行政事业性国有资产管理条例》</w:t>
      </w:r>
      <w:r>
        <w:rPr>
          <w:rFonts w:hint="eastAsia" w:ascii="仿宋_GB2312" w:eastAsia="仿宋_GB2312"/>
          <w:color w:val="000000" w:themeColor="text1"/>
          <w:sz w:val="32"/>
          <w:szCs w:val="32"/>
          <w:highlight w:val="none"/>
        </w:rPr>
        <w:t>（国务院令第738号）等</w:t>
      </w:r>
      <w:r>
        <w:rPr>
          <w:rFonts w:hint="eastAsia" w:ascii="仿宋_GB2312" w:eastAsia="仿宋_GB2312"/>
          <w:color w:val="000000" w:themeColor="text1"/>
          <w:sz w:val="32"/>
          <w:szCs w:val="32"/>
          <w:highlight w:val="none"/>
          <w:lang w:eastAsia="zh-CN"/>
        </w:rPr>
        <w:t>规定</w:t>
      </w:r>
      <w:r>
        <w:rPr>
          <w:rFonts w:ascii="仿宋_GB2312" w:eastAsia="仿宋_GB2312"/>
          <w:color w:val="000000" w:themeColor="text1"/>
          <w:sz w:val="32"/>
          <w:szCs w:val="32"/>
          <w:highlight w:val="none"/>
        </w:rPr>
        <w:t>，</w:t>
      </w:r>
      <w:r>
        <w:rPr>
          <w:rFonts w:hint="eastAsia" w:ascii="仿宋_GB2312" w:eastAsia="仿宋_GB2312"/>
          <w:color w:val="000000" w:themeColor="text1"/>
          <w:sz w:val="32"/>
          <w:szCs w:val="32"/>
          <w:highlight w:val="none"/>
        </w:rPr>
        <w:t>对</w:t>
      </w:r>
      <w:r>
        <w:rPr>
          <w:rFonts w:hint="eastAsia" w:ascii="仿宋_GB2312" w:hAnsi="华文仿宋" w:eastAsia="仿宋_GB2312" w:cs="华文仿宋"/>
          <w:bCs/>
          <w:color w:val="000000" w:themeColor="text1"/>
          <w:kern w:val="0"/>
          <w:sz w:val="32"/>
          <w:szCs w:val="32"/>
          <w:highlight w:val="none"/>
        </w:rPr>
        <w:t>行政事业性国有</w:t>
      </w:r>
      <w:r>
        <w:rPr>
          <w:rFonts w:hint="eastAsia" w:ascii="仿宋_GB2312" w:eastAsia="仿宋_GB2312"/>
          <w:color w:val="000000" w:themeColor="text1"/>
          <w:sz w:val="32"/>
          <w:szCs w:val="32"/>
          <w:highlight w:val="none"/>
        </w:rPr>
        <w:t>资产管理各方面存在的问题进行梳理和自查，提出下一步推进资产管理的工作思路。</w:t>
      </w:r>
    </w:p>
    <w:p>
      <w:pPr>
        <w:keepNext w:val="0"/>
        <w:keepLines w:val="0"/>
        <w:pageBreakBefore w:val="0"/>
        <w:kinsoku/>
        <w:wordWrap/>
        <w:overflowPunct/>
        <w:topLinePunct w:val="0"/>
        <w:autoSpaceDE/>
        <w:autoSpaceDN/>
        <w:bidi w:val="0"/>
        <w:adjustRightInd/>
        <w:snapToGrid/>
        <w:spacing w:line="560" w:lineRule="exact"/>
        <w:ind w:firstLine="720" w:firstLineChars="225"/>
        <w:textAlignment w:val="auto"/>
        <w:rPr>
          <w:rFonts w:ascii="黑体" w:eastAsia="黑体"/>
          <w:color w:val="000000" w:themeColor="text1"/>
          <w:sz w:val="32"/>
          <w:szCs w:val="32"/>
          <w:highlight w:val="none"/>
        </w:rPr>
      </w:pPr>
      <w:r>
        <w:rPr>
          <w:rFonts w:hint="eastAsia" w:ascii="黑体" w:hAnsi="仿宋" w:eastAsia="黑体"/>
          <w:color w:val="000000" w:themeColor="text1"/>
          <w:sz w:val="32"/>
          <w:szCs w:val="32"/>
          <w:highlight w:val="none"/>
          <w:lang w:eastAsia="zh-CN"/>
        </w:rPr>
        <w:t>六</w:t>
      </w:r>
      <w:r>
        <w:rPr>
          <w:rFonts w:hint="eastAsia" w:ascii="黑体" w:hAnsi="仿宋" w:eastAsia="黑体"/>
          <w:color w:val="000000" w:themeColor="text1"/>
          <w:sz w:val="32"/>
          <w:szCs w:val="32"/>
          <w:highlight w:val="none"/>
        </w:rPr>
        <w:t>、其他需要报告的重要事项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highlight w:val="none"/>
        </w:rPr>
      </w:pPr>
      <w:r>
        <w:rPr>
          <w:rFonts w:hint="eastAsia" w:ascii="楷体_GB2312" w:hAnsi="楷体_GB2312" w:eastAsia="楷体_GB2312" w:cs="楷体_GB2312"/>
          <w:color w:val="000000" w:themeColor="text1"/>
          <w:kern w:val="0"/>
          <w:sz w:val="32"/>
          <w:szCs w:val="32"/>
          <w:highlight w:val="none"/>
        </w:rPr>
        <w:t>（一）</w:t>
      </w:r>
      <w:r>
        <w:rPr>
          <w:rFonts w:hint="eastAsia" w:ascii="仿宋_GB2312" w:eastAsia="仿宋_GB2312"/>
          <w:color w:val="000000" w:themeColor="text1"/>
          <w:sz w:val="32"/>
          <w:szCs w:val="32"/>
          <w:highlight w:val="none"/>
        </w:rPr>
        <w:t>对本部门、本地区</w:t>
      </w:r>
      <w:r>
        <w:rPr>
          <w:rFonts w:hint="eastAsia" w:ascii="仿宋_GB2312" w:eastAsia="仿宋_GB2312"/>
          <w:color w:val="000000" w:themeColor="text1"/>
          <w:sz w:val="32"/>
          <w:szCs w:val="32"/>
          <w:highlight w:val="none"/>
          <w:lang w:eastAsia="zh-CN"/>
        </w:rPr>
        <w:t>资</w:t>
      </w:r>
      <w:r>
        <w:rPr>
          <w:rFonts w:hint="eastAsia" w:ascii="仿宋_GB2312" w:eastAsia="仿宋_GB2312"/>
          <w:color w:val="000000" w:themeColor="text1"/>
          <w:sz w:val="32"/>
          <w:szCs w:val="32"/>
          <w:highlight w:val="none"/>
        </w:rPr>
        <w:t>产损失、权属</w:t>
      </w:r>
      <w:r>
        <w:rPr>
          <w:rFonts w:ascii="仿宋_GB2312" w:eastAsia="仿宋_GB2312"/>
          <w:color w:val="000000" w:themeColor="text1"/>
          <w:sz w:val="32"/>
          <w:szCs w:val="32"/>
          <w:highlight w:val="none"/>
        </w:rPr>
        <w:t>不清晰</w:t>
      </w:r>
      <w:r>
        <w:rPr>
          <w:rFonts w:hint="eastAsia" w:ascii="仿宋_GB2312" w:eastAsia="仿宋_GB2312"/>
          <w:color w:val="000000" w:themeColor="text1"/>
          <w:sz w:val="32"/>
          <w:szCs w:val="32"/>
          <w:highlight w:val="none"/>
        </w:rPr>
        <w:t>等重要</w:t>
      </w:r>
      <w:r>
        <w:rPr>
          <w:rFonts w:ascii="仿宋_GB2312" w:eastAsia="仿宋_GB2312"/>
          <w:color w:val="000000" w:themeColor="text1"/>
          <w:sz w:val="32"/>
          <w:szCs w:val="32"/>
          <w:highlight w:val="none"/>
        </w:rPr>
        <w:t>资产情况</w:t>
      </w:r>
      <w:r>
        <w:rPr>
          <w:rFonts w:hint="eastAsia" w:ascii="仿宋_GB2312" w:eastAsia="仿宋_GB2312"/>
          <w:color w:val="000000" w:themeColor="text1"/>
          <w:sz w:val="32"/>
          <w:szCs w:val="32"/>
          <w:highlight w:val="none"/>
        </w:rPr>
        <w:t>以及其他重要事项进行详细分析说明。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rPr>
      </w:pPr>
      <w:r>
        <w:rPr>
          <w:rFonts w:hint="eastAsia" w:ascii="楷体_GB2312" w:hAnsi="楷体_GB2312" w:eastAsia="楷体_GB2312" w:cs="楷体_GB2312"/>
          <w:color w:val="000000" w:themeColor="text1"/>
          <w:kern w:val="0"/>
          <w:sz w:val="32"/>
          <w:szCs w:val="32"/>
        </w:rPr>
        <w:t>（二）</w:t>
      </w:r>
      <w:r>
        <w:rPr>
          <w:rFonts w:hint="eastAsia" w:ascii="仿宋_GB2312" w:eastAsia="仿宋_GB2312"/>
          <w:color w:val="000000" w:themeColor="text1"/>
          <w:sz w:val="32"/>
          <w:szCs w:val="32"/>
        </w:rPr>
        <w:t>本部门、本地区政府储备物资、公共基础设施、文物文化资产、保障性住房数据与行业统计数据对比情况，如不一致应说明差异原因。</w:t>
      </w:r>
      <w:bookmarkStart w:id="0" w:name="_GoBack"/>
      <w:bookmarkEnd w:id="0"/>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4</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E91A7C"/>
    <w:multiLevelType w:val="multilevel"/>
    <w:tmpl w:val="30E91A7C"/>
    <w:lvl w:ilvl="0" w:tentative="0">
      <w:start w:val="1"/>
      <w:numFmt w:val="japaneseCounting"/>
      <w:lvlText w:val="%1、"/>
      <w:lvlJc w:val="left"/>
      <w:pPr>
        <w:ind w:left="1288" w:hanging="720"/>
      </w:pPr>
      <w:rPr>
        <w:rFonts w:hint="eastAsia" w:ascii="黑体" w:hAnsi="Calibri" w:eastAsia="黑体"/>
        <w:color w:val="auto"/>
        <w:sz w:val="3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U1MTBiYTM2ZGFiMzYxMTVhYjM0OTQxMGZkOTg3ODEifQ=="/>
  </w:docVars>
  <w:rsids>
    <w:rsidRoot w:val="00FE599C"/>
    <w:rsid w:val="00002F5F"/>
    <w:rsid w:val="00010CC2"/>
    <w:rsid w:val="000133B5"/>
    <w:rsid w:val="0001452F"/>
    <w:rsid w:val="00020726"/>
    <w:rsid w:val="000263E6"/>
    <w:rsid w:val="000315FA"/>
    <w:rsid w:val="000475E3"/>
    <w:rsid w:val="00071ECA"/>
    <w:rsid w:val="00081B26"/>
    <w:rsid w:val="00096F37"/>
    <w:rsid w:val="000A2A43"/>
    <w:rsid w:val="000C3825"/>
    <w:rsid w:val="000F294E"/>
    <w:rsid w:val="001116ED"/>
    <w:rsid w:val="00112F28"/>
    <w:rsid w:val="00130E81"/>
    <w:rsid w:val="00134B3E"/>
    <w:rsid w:val="0014437D"/>
    <w:rsid w:val="00144439"/>
    <w:rsid w:val="00144A45"/>
    <w:rsid w:val="00170F85"/>
    <w:rsid w:val="00185DBB"/>
    <w:rsid w:val="001B0B4B"/>
    <w:rsid w:val="001B1313"/>
    <w:rsid w:val="001B7D17"/>
    <w:rsid w:val="001C2856"/>
    <w:rsid w:val="001C5EFB"/>
    <w:rsid w:val="001E00AB"/>
    <w:rsid w:val="001E1624"/>
    <w:rsid w:val="001F54A3"/>
    <w:rsid w:val="001F7B3B"/>
    <w:rsid w:val="00200E75"/>
    <w:rsid w:val="00201F8E"/>
    <w:rsid w:val="00222F75"/>
    <w:rsid w:val="00244F92"/>
    <w:rsid w:val="002620BC"/>
    <w:rsid w:val="00263509"/>
    <w:rsid w:val="0027640E"/>
    <w:rsid w:val="00281DD6"/>
    <w:rsid w:val="002963AD"/>
    <w:rsid w:val="002A206B"/>
    <w:rsid w:val="002A3AC2"/>
    <w:rsid w:val="002B0DCB"/>
    <w:rsid w:val="002E292B"/>
    <w:rsid w:val="002F06BB"/>
    <w:rsid w:val="0030044B"/>
    <w:rsid w:val="003004DC"/>
    <w:rsid w:val="00301967"/>
    <w:rsid w:val="0034210A"/>
    <w:rsid w:val="00364686"/>
    <w:rsid w:val="00377900"/>
    <w:rsid w:val="003857A9"/>
    <w:rsid w:val="00385AFF"/>
    <w:rsid w:val="00386292"/>
    <w:rsid w:val="003A01AE"/>
    <w:rsid w:val="003D677C"/>
    <w:rsid w:val="003F4032"/>
    <w:rsid w:val="003F569D"/>
    <w:rsid w:val="004359F4"/>
    <w:rsid w:val="00460D4E"/>
    <w:rsid w:val="00465733"/>
    <w:rsid w:val="0047294E"/>
    <w:rsid w:val="004751F5"/>
    <w:rsid w:val="0048463A"/>
    <w:rsid w:val="00487FB2"/>
    <w:rsid w:val="004937DF"/>
    <w:rsid w:val="004A094D"/>
    <w:rsid w:val="004A24AC"/>
    <w:rsid w:val="004B1C4B"/>
    <w:rsid w:val="004B3B35"/>
    <w:rsid w:val="004B4197"/>
    <w:rsid w:val="004B6BE1"/>
    <w:rsid w:val="004B7347"/>
    <w:rsid w:val="004C0C9C"/>
    <w:rsid w:val="004C529C"/>
    <w:rsid w:val="004C55CA"/>
    <w:rsid w:val="004C672F"/>
    <w:rsid w:val="004D47C6"/>
    <w:rsid w:val="004D6137"/>
    <w:rsid w:val="004D6FD1"/>
    <w:rsid w:val="004D76DC"/>
    <w:rsid w:val="004E0B94"/>
    <w:rsid w:val="004F5D6C"/>
    <w:rsid w:val="00500031"/>
    <w:rsid w:val="00500443"/>
    <w:rsid w:val="00500BDA"/>
    <w:rsid w:val="00502C20"/>
    <w:rsid w:val="00512DD9"/>
    <w:rsid w:val="00513DC4"/>
    <w:rsid w:val="0052477F"/>
    <w:rsid w:val="00542E86"/>
    <w:rsid w:val="00550488"/>
    <w:rsid w:val="00573CD4"/>
    <w:rsid w:val="00583436"/>
    <w:rsid w:val="005900D2"/>
    <w:rsid w:val="00590D26"/>
    <w:rsid w:val="005A2678"/>
    <w:rsid w:val="005B459B"/>
    <w:rsid w:val="005C0646"/>
    <w:rsid w:val="005D1BCA"/>
    <w:rsid w:val="005D4893"/>
    <w:rsid w:val="005D4BA3"/>
    <w:rsid w:val="005F31CB"/>
    <w:rsid w:val="005F757E"/>
    <w:rsid w:val="005F79EE"/>
    <w:rsid w:val="006131AB"/>
    <w:rsid w:val="0061516F"/>
    <w:rsid w:val="006168C2"/>
    <w:rsid w:val="00622F50"/>
    <w:rsid w:val="00632B94"/>
    <w:rsid w:val="00635A94"/>
    <w:rsid w:val="00635CD2"/>
    <w:rsid w:val="00636F94"/>
    <w:rsid w:val="006506DD"/>
    <w:rsid w:val="006572AC"/>
    <w:rsid w:val="00673993"/>
    <w:rsid w:val="00675ACA"/>
    <w:rsid w:val="00683829"/>
    <w:rsid w:val="00691261"/>
    <w:rsid w:val="006942CD"/>
    <w:rsid w:val="00696948"/>
    <w:rsid w:val="006A6FBC"/>
    <w:rsid w:val="006A79E2"/>
    <w:rsid w:val="006B134B"/>
    <w:rsid w:val="006B1FA0"/>
    <w:rsid w:val="006B214A"/>
    <w:rsid w:val="006B77D1"/>
    <w:rsid w:val="006C02D2"/>
    <w:rsid w:val="006C05DE"/>
    <w:rsid w:val="006E3DC9"/>
    <w:rsid w:val="006F4F95"/>
    <w:rsid w:val="00700518"/>
    <w:rsid w:val="00705E76"/>
    <w:rsid w:val="007067D5"/>
    <w:rsid w:val="00745F35"/>
    <w:rsid w:val="00746E5A"/>
    <w:rsid w:val="00756AE5"/>
    <w:rsid w:val="00773668"/>
    <w:rsid w:val="007856E6"/>
    <w:rsid w:val="007A2646"/>
    <w:rsid w:val="007F0ACA"/>
    <w:rsid w:val="00803104"/>
    <w:rsid w:val="0081099D"/>
    <w:rsid w:val="00810AE1"/>
    <w:rsid w:val="00823341"/>
    <w:rsid w:val="00827AF1"/>
    <w:rsid w:val="0084298B"/>
    <w:rsid w:val="00847EB0"/>
    <w:rsid w:val="00852036"/>
    <w:rsid w:val="008546AC"/>
    <w:rsid w:val="00870619"/>
    <w:rsid w:val="00877543"/>
    <w:rsid w:val="0088119B"/>
    <w:rsid w:val="00884236"/>
    <w:rsid w:val="00890275"/>
    <w:rsid w:val="008A1787"/>
    <w:rsid w:val="008A68BA"/>
    <w:rsid w:val="008B0F73"/>
    <w:rsid w:val="008B4F1B"/>
    <w:rsid w:val="008C3BDB"/>
    <w:rsid w:val="008D129A"/>
    <w:rsid w:val="008E0165"/>
    <w:rsid w:val="008E2117"/>
    <w:rsid w:val="008F111A"/>
    <w:rsid w:val="00907EBC"/>
    <w:rsid w:val="009170BE"/>
    <w:rsid w:val="00925324"/>
    <w:rsid w:val="009352B5"/>
    <w:rsid w:val="00936A46"/>
    <w:rsid w:val="00941CCA"/>
    <w:rsid w:val="00942D12"/>
    <w:rsid w:val="009625C7"/>
    <w:rsid w:val="009859EC"/>
    <w:rsid w:val="009912EB"/>
    <w:rsid w:val="009917C2"/>
    <w:rsid w:val="009A1249"/>
    <w:rsid w:val="009C3901"/>
    <w:rsid w:val="009C63E2"/>
    <w:rsid w:val="009D404A"/>
    <w:rsid w:val="009D5FC2"/>
    <w:rsid w:val="009D7888"/>
    <w:rsid w:val="009E659B"/>
    <w:rsid w:val="00A06D92"/>
    <w:rsid w:val="00A15CFF"/>
    <w:rsid w:val="00A169E7"/>
    <w:rsid w:val="00A16A3C"/>
    <w:rsid w:val="00A33549"/>
    <w:rsid w:val="00A52FDF"/>
    <w:rsid w:val="00A644D9"/>
    <w:rsid w:val="00A70CC9"/>
    <w:rsid w:val="00A7588B"/>
    <w:rsid w:val="00A80804"/>
    <w:rsid w:val="00A8440F"/>
    <w:rsid w:val="00A921F6"/>
    <w:rsid w:val="00AA188C"/>
    <w:rsid w:val="00AB3508"/>
    <w:rsid w:val="00AC153A"/>
    <w:rsid w:val="00AC4566"/>
    <w:rsid w:val="00AC4B40"/>
    <w:rsid w:val="00AE6AB5"/>
    <w:rsid w:val="00AF7E6B"/>
    <w:rsid w:val="00B2583B"/>
    <w:rsid w:val="00B53EB4"/>
    <w:rsid w:val="00B679B2"/>
    <w:rsid w:val="00B71F9F"/>
    <w:rsid w:val="00BA240A"/>
    <w:rsid w:val="00BA48D8"/>
    <w:rsid w:val="00BB3452"/>
    <w:rsid w:val="00BB5C28"/>
    <w:rsid w:val="00BB7EA2"/>
    <w:rsid w:val="00BE7F14"/>
    <w:rsid w:val="00C040F1"/>
    <w:rsid w:val="00C26CDD"/>
    <w:rsid w:val="00C3107B"/>
    <w:rsid w:val="00C45D26"/>
    <w:rsid w:val="00C5171E"/>
    <w:rsid w:val="00C619E7"/>
    <w:rsid w:val="00C66229"/>
    <w:rsid w:val="00CA0BDF"/>
    <w:rsid w:val="00CA160A"/>
    <w:rsid w:val="00CC03BE"/>
    <w:rsid w:val="00CC56FD"/>
    <w:rsid w:val="00CE4C1C"/>
    <w:rsid w:val="00D04363"/>
    <w:rsid w:val="00D055FC"/>
    <w:rsid w:val="00D05EF1"/>
    <w:rsid w:val="00D10985"/>
    <w:rsid w:val="00D15F77"/>
    <w:rsid w:val="00D32D47"/>
    <w:rsid w:val="00D34FC8"/>
    <w:rsid w:val="00D41DD5"/>
    <w:rsid w:val="00D53C06"/>
    <w:rsid w:val="00D655B5"/>
    <w:rsid w:val="00D7675F"/>
    <w:rsid w:val="00D8066F"/>
    <w:rsid w:val="00D806B5"/>
    <w:rsid w:val="00D82A96"/>
    <w:rsid w:val="00D85530"/>
    <w:rsid w:val="00D85CED"/>
    <w:rsid w:val="00D953B9"/>
    <w:rsid w:val="00DA663B"/>
    <w:rsid w:val="00DB2768"/>
    <w:rsid w:val="00DC0832"/>
    <w:rsid w:val="00DC440B"/>
    <w:rsid w:val="00DC7DDA"/>
    <w:rsid w:val="00DD3A4D"/>
    <w:rsid w:val="00DE5EC9"/>
    <w:rsid w:val="00DF4953"/>
    <w:rsid w:val="00E434F0"/>
    <w:rsid w:val="00E47166"/>
    <w:rsid w:val="00E53B13"/>
    <w:rsid w:val="00E73CE2"/>
    <w:rsid w:val="00E90F26"/>
    <w:rsid w:val="00EA294F"/>
    <w:rsid w:val="00EA7EAC"/>
    <w:rsid w:val="00EB1170"/>
    <w:rsid w:val="00EB7AEC"/>
    <w:rsid w:val="00EC06EF"/>
    <w:rsid w:val="00EE06FD"/>
    <w:rsid w:val="00EE461F"/>
    <w:rsid w:val="00EF05AA"/>
    <w:rsid w:val="00EF6879"/>
    <w:rsid w:val="00F00089"/>
    <w:rsid w:val="00F0109E"/>
    <w:rsid w:val="00F03D46"/>
    <w:rsid w:val="00F06EBD"/>
    <w:rsid w:val="00F22FBE"/>
    <w:rsid w:val="00F27E14"/>
    <w:rsid w:val="00F34E0F"/>
    <w:rsid w:val="00F420D9"/>
    <w:rsid w:val="00F47837"/>
    <w:rsid w:val="00F65FC3"/>
    <w:rsid w:val="00F67AD4"/>
    <w:rsid w:val="00F7087F"/>
    <w:rsid w:val="00F867DD"/>
    <w:rsid w:val="00F91AC1"/>
    <w:rsid w:val="00F94162"/>
    <w:rsid w:val="00FD57A1"/>
    <w:rsid w:val="00FE599C"/>
    <w:rsid w:val="00FF093F"/>
    <w:rsid w:val="00FF41E1"/>
    <w:rsid w:val="01166843"/>
    <w:rsid w:val="026172AC"/>
    <w:rsid w:val="02F809E2"/>
    <w:rsid w:val="04414801"/>
    <w:rsid w:val="04523525"/>
    <w:rsid w:val="07675800"/>
    <w:rsid w:val="07950205"/>
    <w:rsid w:val="07E35189"/>
    <w:rsid w:val="09FD0375"/>
    <w:rsid w:val="0ADA18C7"/>
    <w:rsid w:val="0B64113E"/>
    <w:rsid w:val="0C7F5CD8"/>
    <w:rsid w:val="0D2E476E"/>
    <w:rsid w:val="0DF32A69"/>
    <w:rsid w:val="0E3323B2"/>
    <w:rsid w:val="0EEB22FD"/>
    <w:rsid w:val="0F1015F2"/>
    <w:rsid w:val="101A4DDE"/>
    <w:rsid w:val="116454B7"/>
    <w:rsid w:val="11CD3961"/>
    <w:rsid w:val="128D6BB4"/>
    <w:rsid w:val="13A814F8"/>
    <w:rsid w:val="142A39AA"/>
    <w:rsid w:val="14EF7718"/>
    <w:rsid w:val="16B351AB"/>
    <w:rsid w:val="18F462C3"/>
    <w:rsid w:val="1A3C22BC"/>
    <w:rsid w:val="1B5B6257"/>
    <w:rsid w:val="1C53586C"/>
    <w:rsid w:val="1D21151E"/>
    <w:rsid w:val="1DFC6D7A"/>
    <w:rsid w:val="1E1C617D"/>
    <w:rsid w:val="1E6F1EE9"/>
    <w:rsid w:val="1FD21068"/>
    <w:rsid w:val="202E39B4"/>
    <w:rsid w:val="21833BFB"/>
    <w:rsid w:val="221C015A"/>
    <w:rsid w:val="23326A25"/>
    <w:rsid w:val="250817C9"/>
    <w:rsid w:val="254FB274"/>
    <w:rsid w:val="273A4F88"/>
    <w:rsid w:val="28927C94"/>
    <w:rsid w:val="28AD067D"/>
    <w:rsid w:val="29126FE4"/>
    <w:rsid w:val="2939585B"/>
    <w:rsid w:val="2BEA21C4"/>
    <w:rsid w:val="2CB47743"/>
    <w:rsid w:val="2F3B2D5A"/>
    <w:rsid w:val="2F3E30EF"/>
    <w:rsid w:val="309853B2"/>
    <w:rsid w:val="318E3E5D"/>
    <w:rsid w:val="31902152"/>
    <w:rsid w:val="33F11027"/>
    <w:rsid w:val="35AA5BF4"/>
    <w:rsid w:val="3757083F"/>
    <w:rsid w:val="37995A57"/>
    <w:rsid w:val="389968CD"/>
    <w:rsid w:val="39196A2A"/>
    <w:rsid w:val="3B164554"/>
    <w:rsid w:val="3B774148"/>
    <w:rsid w:val="3BA2254D"/>
    <w:rsid w:val="3D771506"/>
    <w:rsid w:val="3E503F19"/>
    <w:rsid w:val="3E8A7D75"/>
    <w:rsid w:val="3ED0249C"/>
    <w:rsid w:val="3EDC88D4"/>
    <w:rsid w:val="3FBD7618"/>
    <w:rsid w:val="3FDB5FFA"/>
    <w:rsid w:val="402B654B"/>
    <w:rsid w:val="40E66DE2"/>
    <w:rsid w:val="40FA29D2"/>
    <w:rsid w:val="43797382"/>
    <w:rsid w:val="43D5363B"/>
    <w:rsid w:val="44EF4922"/>
    <w:rsid w:val="453870F5"/>
    <w:rsid w:val="45FE6F89"/>
    <w:rsid w:val="4ADF0518"/>
    <w:rsid w:val="4B7D023E"/>
    <w:rsid w:val="4D2C130A"/>
    <w:rsid w:val="4D3D1799"/>
    <w:rsid w:val="4D5212ED"/>
    <w:rsid w:val="4DAA3A47"/>
    <w:rsid w:val="4DF43C52"/>
    <w:rsid w:val="4E2F6F8F"/>
    <w:rsid w:val="4EA16C5D"/>
    <w:rsid w:val="4EDD5757"/>
    <w:rsid w:val="4F5A754C"/>
    <w:rsid w:val="51E22B95"/>
    <w:rsid w:val="52CD7DA1"/>
    <w:rsid w:val="5374454A"/>
    <w:rsid w:val="547D42C3"/>
    <w:rsid w:val="55FA1630"/>
    <w:rsid w:val="56093C42"/>
    <w:rsid w:val="57171112"/>
    <w:rsid w:val="57C40364"/>
    <w:rsid w:val="57EE044E"/>
    <w:rsid w:val="58042AEB"/>
    <w:rsid w:val="586B4198"/>
    <w:rsid w:val="588D5F4E"/>
    <w:rsid w:val="591A7469"/>
    <w:rsid w:val="59EE51F2"/>
    <w:rsid w:val="5B2610D7"/>
    <w:rsid w:val="5B8378E5"/>
    <w:rsid w:val="5C7B225B"/>
    <w:rsid w:val="5CCE5AD7"/>
    <w:rsid w:val="5E500FAC"/>
    <w:rsid w:val="5F0A365F"/>
    <w:rsid w:val="5F0A3A93"/>
    <w:rsid w:val="5F6C335A"/>
    <w:rsid w:val="5FDF3A72"/>
    <w:rsid w:val="60D251B5"/>
    <w:rsid w:val="617918C3"/>
    <w:rsid w:val="62771729"/>
    <w:rsid w:val="63C5214D"/>
    <w:rsid w:val="63DE1145"/>
    <w:rsid w:val="64432DE3"/>
    <w:rsid w:val="650B7A25"/>
    <w:rsid w:val="65936BD2"/>
    <w:rsid w:val="667051EB"/>
    <w:rsid w:val="69167732"/>
    <w:rsid w:val="6B93037E"/>
    <w:rsid w:val="6D2509E0"/>
    <w:rsid w:val="6D786448"/>
    <w:rsid w:val="6E965F42"/>
    <w:rsid w:val="71347FD6"/>
    <w:rsid w:val="7136612B"/>
    <w:rsid w:val="713C0EE7"/>
    <w:rsid w:val="72874BAE"/>
    <w:rsid w:val="73915D84"/>
    <w:rsid w:val="751C3AEB"/>
    <w:rsid w:val="75AD789E"/>
    <w:rsid w:val="760F4E8F"/>
    <w:rsid w:val="766A00BF"/>
    <w:rsid w:val="76E175D0"/>
    <w:rsid w:val="77AD5470"/>
    <w:rsid w:val="77EE0AD0"/>
    <w:rsid w:val="78841308"/>
    <w:rsid w:val="79BBD1F0"/>
    <w:rsid w:val="79BC2B12"/>
    <w:rsid w:val="79DB2AF2"/>
    <w:rsid w:val="79F4675F"/>
    <w:rsid w:val="7C5028C4"/>
    <w:rsid w:val="7C9A74B8"/>
    <w:rsid w:val="7CBD1CF1"/>
    <w:rsid w:val="7DF706BB"/>
    <w:rsid w:val="7DF8774C"/>
    <w:rsid w:val="7E7F861A"/>
    <w:rsid w:val="7EBFBB38"/>
    <w:rsid w:val="7EC951E2"/>
    <w:rsid w:val="7FDDD7DD"/>
    <w:rsid w:val="7FFD44C5"/>
    <w:rsid w:val="8A77A974"/>
    <w:rsid w:val="8F3F8950"/>
    <w:rsid w:val="99A74EDD"/>
    <w:rsid w:val="AD7A127F"/>
    <w:rsid w:val="AEBF2ADB"/>
    <w:rsid w:val="AF4FF015"/>
    <w:rsid w:val="AFF7144D"/>
    <w:rsid w:val="AFFA3790"/>
    <w:rsid w:val="CFEE2C12"/>
    <w:rsid w:val="D9FFACFB"/>
    <w:rsid w:val="DFEF7F0A"/>
    <w:rsid w:val="E6DBBED8"/>
    <w:rsid w:val="E6F0915C"/>
    <w:rsid w:val="F6DDE3A1"/>
    <w:rsid w:val="F78FA812"/>
    <w:rsid w:val="F7FFF892"/>
    <w:rsid w:val="FAF4666E"/>
    <w:rsid w:val="FAFF50AA"/>
    <w:rsid w:val="FBFE6E81"/>
    <w:rsid w:val="FDBB7708"/>
    <w:rsid w:val="FDFFE621"/>
    <w:rsid w:val="FED376FE"/>
    <w:rsid w:val="FFD750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ody Text"/>
    <w:basedOn w:val="1"/>
    <w:link w:val="10"/>
    <w:qFormat/>
    <w:uiPriority w:val="0"/>
    <w:pPr>
      <w:widowControl/>
      <w:adjustRightInd w:val="0"/>
      <w:snapToGrid w:val="0"/>
      <w:spacing w:line="360" w:lineRule="auto"/>
    </w:pPr>
    <w:rPr>
      <w:rFonts w:ascii="仿宋_GB2312" w:hAnsi="宋体" w:eastAsia="仿宋_GB2312"/>
      <w:kern w:val="0"/>
      <w:sz w:val="28"/>
      <w:szCs w:val="24"/>
    </w:rPr>
  </w:style>
  <w:style w:type="paragraph" w:styleId="4">
    <w:name w:val="Balloon Text"/>
    <w:basedOn w:val="1"/>
    <w:link w:val="14"/>
    <w:unhideWhenUsed/>
    <w:qFormat/>
    <w:uiPriority w:val="99"/>
    <w:rPr>
      <w:sz w:val="18"/>
      <w:szCs w:val="18"/>
    </w:rPr>
  </w:style>
  <w:style w:type="paragraph" w:styleId="5">
    <w:name w:val="footer"/>
    <w:basedOn w:val="1"/>
    <w:link w:val="11"/>
    <w:qFormat/>
    <w:uiPriority w:val="0"/>
    <w:pPr>
      <w:tabs>
        <w:tab w:val="center" w:pos="4153"/>
        <w:tab w:val="right" w:pos="8306"/>
      </w:tabs>
      <w:snapToGrid w:val="0"/>
      <w:jc w:val="left"/>
    </w:pPr>
    <w:rPr>
      <w:rFonts w:ascii="Times New Roman" w:hAnsi="Times New Roman"/>
      <w:sz w:val="18"/>
      <w:szCs w:val="20"/>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正文文本 字符"/>
    <w:link w:val="3"/>
    <w:qFormat/>
    <w:uiPriority w:val="0"/>
    <w:rPr>
      <w:rFonts w:ascii="仿宋_GB2312" w:hAnsi="宋体" w:eastAsia="仿宋_GB2312" w:cs="Times New Roman"/>
      <w:kern w:val="0"/>
      <w:sz w:val="28"/>
      <w:szCs w:val="24"/>
    </w:rPr>
  </w:style>
  <w:style w:type="character" w:customStyle="1" w:styleId="11">
    <w:name w:val="页脚 字符"/>
    <w:link w:val="5"/>
    <w:qFormat/>
    <w:uiPriority w:val="0"/>
    <w:rPr>
      <w:rFonts w:ascii="Times New Roman" w:hAnsi="Times New Roman" w:eastAsia="宋体" w:cs="Times New Roman"/>
      <w:sz w:val="18"/>
      <w:szCs w:val="20"/>
    </w:rPr>
  </w:style>
  <w:style w:type="paragraph" w:customStyle="1" w:styleId="12">
    <w:name w:val="列出段落1"/>
    <w:basedOn w:val="1"/>
    <w:qFormat/>
    <w:uiPriority w:val="34"/>
    <w:pPr>
      <w:ind w:firstLine="420" w:firstLineChars="200"/>
    </w:pPr>
  </w:style>
  <w:style w:type="character" w:customStyle="1" w:styleId="13">
    <w:name w:val="页眉 字符"/>
    <w:link w:val="6"/>
    <w:qFormat/>
    <w:uiPriority w:val="99"/>
    <w:rPr>
      <w:sz w:val="18"/>
      <w:szCs w:val="18"/>
    </w:rPr>
  </w:style>
  <w:style w:type="character" w:customStyle="1" w:styleId="14">
    <w:name w:val="批注框文本 字符"/>
    <w:link w:val="4"/>
    <w:semiHidden/>
    <w:qFormat/>
    <w:uiPriority w:val="99"/>
    <w:rPr>
      <w:sz w:val="18"/>
      <w:szCs w:val="18"/>
    </w:rPr>
  </w:style>
  <w:style w:type="character" w:customStyle="1" w:styleId="15">
    <w:name w:val="批注文字 字符"/>
    <w:basedOn w:val="8"/>
    <w:link w:val="2"/>
    <w:qFormat/>
    <w:uiPriority w:val="99"/>
  </w:style>
  <w:style w:type="paragraph" w:customStyle="1" w:styleId="16">
    <w:name w:val="列出段落11"/>
    <w:basedOn w:val="1"/>
    <w:qFormat/>
    <w:uiPriority w:val="34"/>
    <w:pPr>
      <w:ind w:firstLine="420" w:firstLineChars="200"/>
    </w:pPr>
    <w:rPr>
      <w:rFonts w:ascii="Times New Roman" w:hAnsi="Times New Roman"/>
      <w:szCs w:val="24"/>
    </w:rPr>
  </w:style>
  <w:style w:type="paragraph" w:styleId="17">
    <w:name w:val="List Paragraph"/>
    <w:basedOn w:val="1"/>
    <w:qFormat/>
    <w:uiPriority w:val="99"/>
    <w:pPr>
      <w:ind w:firstLine="420" w:firstLineChars="200"/>
    </w:pPr>
  </w:style>
  <w:style w:type="paragraph" w:customStyle="1" w:styleId="18">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1528</Words>
  <Characters>1540</Characters>
  <Lines>11</Lines>
  <Paragraphs>3</Paragraphs>
  <TotalTime>6</TotalTime>
  <ScaleCrop>false</ScaleCrop>
  <LinksUpToDate>false</LinksUpToDate>
  <CharactersWithSpaces>1540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2020-09-28T18:12:00Z</dcterms:created>
  <dc:creator>lenovo</dc:creator>
  <cp:lastModifiedBy>曹若菊</cp:lastModifiedBy>
  <cp:lastPrinted>2023-02-01T02:36:58Z</cp:lastPrinted>
  <dcterms:modified xsi:type="dcterms:W3CDTF">2023-02-01T02:37:11Z</dcterms:modified>
  <dc:title>附件3：</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32CCAB4DF7AB4F9CB9CECF24A67036C0</vt:lpwstr>
  </property>
</Properties>
</file>